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黑体" w:eastAsia="黑体" w:cs="黑体"/>
          <w:b/>
          <w:color w:val="000000"/>
          <w:kern w:val="0"/>
          <w:sz w:val="48"/>
          <w:szCs w:val="48"/>
          <w:lang w:eastAsia="zh-CN"/>
        </w:rPr>
      </w:pPr>
      <w:r>
        <w:rPr>
          <w:rFonts w:hint="eastAsia" w:ascii="黑体" w:hAnsi="黑体" w:eastAsia="黑体" w:cs="黑体"/>
          <w:b/>
          <w:color w:val="000000"/>
          <w:kern w:val="0"/>
          <w:sz w:val="48"/>
          <w:szCs w:val="48"/>
          <w:lang w:val="en-US" w:eastAsia="zh-CN"/>
        </w:rPr>
        <w:t>聊城现代交通职业中等专业学校</w:t>
      </w:r>
      <w:r>
        <w:rPr>
          <w:rFonts w:hint="eastAsia" w:ascii="黑体" w:hAnsi="黑体" w:eastAsia="黑体" w:cs="黑体"/>
          <w:b/>
          <w:color w:val="000000"/>
          <w:kern w:val="0"/>
          <w:sz w:val="48"/>
          <w:szCs w:val="48"/>
          <w:lang w:eastAsia="zh-CN"/>
        </w:rPr>
        <w:t>学前教育专业人才培养方案</w:t>
      </w:r>
    </w:p>
    <w:p>
      <w:pPr>
        <w:spacing w:line="360" w:lineRule="auto"/>
        <w:rPr>
          <w:rFonts w:hint="eastAsia" w:ascii="宋体" w:hAnsi="宋体" w:eastAsia="宋体" w:cs="宋体"/>
          <w:sz w:val="32"/>
          <w:szCs w:val="32"/>
        </w:rPr>
      </w:pPr>
      <w:r>
        <w:rPr>
          <w:rFonts w:hint="eastAsia" w:ascii="宋体" w:hAnsi="宋体" w:eastAsia="宋体" w:cs="宋体"/>
          <w:sz w:val="32"/>
          <w:szCs w:val="32"/>
        </w:rPr>
        <w:t>一．培养目标与规格</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培养适应我国社会主义现代化建设和幼儿园教育事业发展要求，德智体美等方面全面发展，具有综合职业素养和能力，能胜任幼儿教育第一线工作的劳动者和中初级实用型人才。</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职业岗位：幼儿园教师、早教培训机构教师、社区幼教机构工作人员、儿童社会工作者等。</w:t>
      </w:r>
    </w:p>
    <w:p>
      <w:pPr>
        <w:spacing w:line="360" w:lineRule="auto"/>
        <w:ind w:firstLine="480" w:firstLineChars="150"/>
        <w:rPr>
          <w:rFonts w:hint="eastAsia" w:ascii="宋体" w:hAnsi="宋体" w:eastAsia="宋体" w:cs="宋体"/>
          <w:sz w:val="32"/>
          <w:szCs w:val="32"/>
        </w:rPr>
      </w:pPr>
      <w:r>
        <w:rPr>
          <w:rFonts w:hint="eastAsia" w:ascii="宋体" w:hAnsi="宋体" w:eastAsia="宋体" w:cs="宋体"/>
          <w:sz w:val="32"/>
          <w:szCs w:val="32"/>
        </w:rPr>
        <w:t>（一）思想品德方面</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热爱社会主义祖国，拥护党的路线、方针、政策；初步了解马克思主义的基本观点和建设有中国特色社会主义的基本原理；树立正确的世界观、人生观和价值观，热爱幼儿教育事业；树立正确的儿童观和教育观，具有良好的职业道德和行为习惯，具有事业心、责任感和求实创新精神。</w:t>
      </w:r>
    </w:p>
    <w:p>
      <w:pPr>
        <w:spacing w:line="360" w:lineRule="auto"/>
        <w:rPr>
          <w:rFonts w:hint="eastAsia" w:ascii="宋体" w:hAnsi="宋体" w:eastAsia="宋体" w:cs="宋体"/>
          <w:sz w:val="32"/>
          <w:szCs w:val="32"/>
        </w:rPr>
      </w:pPr>
      <w:r>
        <w:rPr>
          <w:rFonts w:hint="eastAsia" w:ascii="宋体" w:hAnsi="宋体" w:eastAsia="宋体" w:cs="宋体"/>
          <w:sz w:val="32"/>
          <w:szCs w:val="32"/>
        </w:rPr>
        <w:t>（二）知识能力方面</w:t>
      </w:r>
    </w:p>
    <w:p>
      <w:pPr>
        <w:spacing w:line="360" w:lineRule="auto"/>
        <w:ind w:firstLine="570"/>
        <w:rPr>
          <w:rFonts w:hint="eastAsia" w:ascii="宋体" w:hAnsi="宋体" w:eastAsia="宋体" w:cs="宋体"/>
          <w:sz w:val="32"/>
          <w:szCs w:val="32"/>
        </w:rPr>
      </w:pPr>
      <w:r>
        <w:rPr>
          <w:rFonts w:hint="eastAsia" w:ascii="宋体" w:hAnsi="宋体" w:eastAsia="宋体" w:cs="宋体"/>
          <w:sz w:val="32"/>
          <w:szCs w:val="32"/>
        </w:rPr>
        <w:t>掌握从事幼儿教育工作所需要的中等文化科学知识、技能。具备初步的自主学习能力和自我发展能力。</w:t>
      </w:r>
    </w:p>
    <w:p>
      <w:pPr>
        <w:spacing w:line="360" w:lineRule="auto"/>
        <w:ind w:firstLine="570"/>
        <w:rPr>
          <w:rFonts w:hint="eastAsia" w:ascii="宋体" w:hAnsi="宋体" w:eastAsia="宋体" w:cs="宋体"/>
          <w:sz w:val="32"/>
          <w:szCs w:val="32"/>
        </w:rPr>
      </w:pPr>
      <w:r>
        <w:rPr>
          <w:rFonts w:hint="eastAsia" w:ascii="宋体" w:hAnsi="宋体" w:eastAsia="宋体" w:cs="宋体"/>
          <w:sz w:val="32"/>
          <w:szCs w:val="32"/>
        </w:rPr>
        <w:t>了解幼儿生理、心理发展特点及规律，掌握开展幼儿保育和教育活动的基本知识和技能；具备观察了解幼儿、制定保育和教育目标、指导幼儿游戏和各种教育活动的一般知识和方法；能创制简易的玩教具，能正确使用常见的电教设备，能利用电脑制作课件。</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具有一定的口头、书面表达能力和社会交往能力，能调动家庭和社会积极因素教育幼儿；具有一定的艺术修养和健康的审美意识。</w:t>
      </w:r>
    </w:p>
    <w:p>
      <w:pPr>
        <w:spacing w:line="360" w:lineRule="auto"/>
        <w:rPr>
          <w:rFonts w:hint="eastAsia" w:ascii="宋体" w:hAnsi="宋体" w:eastAsia="宋体" w:cs="宋体"/>
          <w:sz w:val="32"/>
          <w:szCs w:val="32"/>
        </w:rPr>
      </w:pPr>
      <w:r>
        <w:rPr>
          <w:rFonts w:hint="eastAsia" w:ascii="宋体" w:hAnsi="宋体" w:eastAsia="宋体" w:cs="宋体"/>
          <w:sz w:val="32"/>
          <w:szCs w:val="32"/>
        </w:rPr>
        <w:t>（三）身心素质方面</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懂得基本的保健知识和方法，养成锻炼身体的习惯和良好的生活卫生习惯，达到国家体育锻炼标准，身体健康。形成良好的心理素质，具有较强的意志力和心理自我调节能力。</w:t>
      </w:r>
    </w:p>
    <w:p>
      <w:pPr>
        <w:spacing w:line="360" w:lineRule="auto"/>
        <w:rPr>
          <w:rFonts w:hint="eastAsia" w:ascii="宋体" w:hAnsi="宋体" w:eastAsia="宋体" w:cs="宋体"/>
          <w:sz w:val="32"/>
          <w:szCs w:val="32"/>
        </w:rPr>
      </w:pPr>
      <w:r>
        <w:rPr>
          <w:rFonts w:hint="eastAsia" w:ascii="宋体" w:hAnsi="宋体" w:eastAsia="宋体" w:cs="宋体"/>
          <w:sz w:val="32"/>
          <w:szCs w:val="32"/>
        </w:rPr>
        <w:t>二．课程设置原则</w:t>
      </w:r>
    </w:p>
    <w:p>
      <w:pPr>
        <w:spacing w:line="360" w:lineRule="auto"/>
        <w:ind w:firstLine="160" w:firstLineChars="50"/>
        <w:rPr>
          <w:rFonts w:hint="eastAsia" w:ascii="宋体" w:hAnsi="宋体" w:eastAsia="宋体" w:cs="宋体"/>
          <w:sz w:val="32"/>
          <w:szCs w:val="32"/>
        </w:rPr>
      </w:pPr>
      <w:r>
        <w:rPr>
          <w:rFonts w:hint="eastAsia" w:ascii="宋体" w:hAnsi="宋体" w:eastAsia="宋体" w:cs="宋体"/>
          <w:sz w:val="32"/>
          <w:szCs w:val="32"/>
        </w:rPr>
        <w:t xml:space="preserve">   1.时代性与前瞻性</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课程设置要贯彻“教育要面向现代化，面向世界，面向未来”的方针，立足现实，放眼未来，既要反映当代社会经济、文化和科技发展趋势，贴近幼教就业市场需要，又要着眼于未来发展的需要，使学生基本构建起适应终身学习的教育观念和能力，为今后的可持续发展奠定基础。</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2.基础性与专业性</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课程设置要做到以学生为本，以就业为导向，针对学生特点和用人单位的实际需要，体现中等教育的基础性，同时又体现学前教育的专业特征，力求构建科学规范的中等职业学校学前教育专业课程体系，提高未来幼儿教师的职业水平。</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3.综合性与侧重性</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根据学历教育和职业教育的双重需要，全方位推进文化课程、艺体课程和专业课程，强化综合素质教育，注重基本素养的培养，体现人文精神，加强学科间的相互沟通和整合。同时，实行全面发展的综合性教育与学科方向侧重性教育相结合，使学生学有所长、一专多能。</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4.理论性和实践性</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课程设置力求根据幼儿教师职前教育的要求，既要科学地安排文化知识课和专业理论课，又要加强实践环节，注重教育实践和学科技能训练，重视学生职业素质和能力的提升，培养实用性幼教人才。</w:t>
      </w:r>
    </w:p>
    <w:p>
      <w:pPr>
        <w:spacing w:line="360" w:lineRule="auto"/>
        <w:rPr>
          <w:rFonts w:hint="eastAsia" w:ascii="宋体" w:hAnsi="宋体" w:eastAsia="宋体" w:cs="宋体"/>
          <w:sz w:val="32"/>
          <w:szCs w:val="32"/>
        </w:rPr>
      </w:pPr>
      <w:r>
        <w:rPr>
          <w:rFonts w:hint="eastAsia" w:ascii="宋体" w:hAnsi="宋体" w:eastAsia="宋体" w:cs="宋体"/>
          <w:sz w:val="32"/>
          <w:szCs w:val="32"/>
        </w:rPr>
        <w:t>三．课程结构</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本专业课程由必修课、选修课、活动课和教育实践四部分组成，即“四大块”课程结构，建立以必修课为主渠道，必修课、选修课、活动课和教育实践有机结合的“四位一体”课程体系。</w:t>
      </w:r>
    </w:p>
    <w:p>
      <w:pPr>
        <w:numPr>
          <w:ilvl w:val="0"/>
          <w:numId w:val="1"/>
        </w:numPr>
        <w:spacing w:line="360" w:lineRule="auto"/>
        <w:rPr>
          <w:rFonts w:hint="eastAsia" w:ascii="宋体" w:hAnsi="宋体" w:eastAsia="宋体" w:cs="宋体"/>
          <w:sz w:val="32"/>
          <w:szCs w:val="32"/>
        </w:rPr>
      </w:pPr>
      <w:r>
        <w:rPr>
          <w:rFonts w:hint="eastAsia" w:ascii="宋体" w:hAnsi="宋体" w:eastAsia="宋体" w:cs="宋体"/>
          <w:sz w:val="32"/>
          <w:szCs w:val="32"/>
        </w:rPr>
        <w:t>必修课</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必修课是课程的主体，是学生素质全面发展的基础，是对幼儿教师职前培养的主要内容。必修课包括三大类，文化基础类：包括语文、数学、外语、综合文科（包括政、史、地等人文科学基础知识）、综合理科（包括理、化、生等自然科学基础知识）、计算机等；专业理论类：包括学前卫生学、学前心理学、学前教育学、幼儿园教育活动设计与指导、幼儿文学、幼儿教师口语、幼儿园应用文写作等；艺术体育类：包括音乐、舞蹈、美术、手工、体育、体操等。</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各类课程都要结合专业特点，合理安排教学内容，要注意结合学科特点和内容，渗透德育、陶冶情操、训练技能、培养能力；要根据学生的身心发展规律，因材施教，使学生得到全面发展。</w:t>
      </w:r>
    </w:p>
    <w:p>
      <w:pPr>
        <w:numPr>
          <w:ilvl w:val="0"/>
          <w:numId w:val="1"/>
        </w:numPr>
        <w:spacing w:line="360" w:lineRule="auto"/>
        <w:rPr>
          <w:rFonts w:hint="eastAsia" w:ascii="宋体" w:hAnsi="宋体" w:eastAsia="宋体" w:cs="宋体"/>
          <w:sz w:val="32"/>
          <w:szCs w:val="32"/>
        </w:rPr>
      </w:pPr>
      <w:r>
        <w:rPr>
          <w:rFonts w:hint="eastAsia" w:ascii="宋体" w:hAnsi="宋体" w:eastAsia="宋体" w:cs="宋体"/>
          <w:sz w:val="32"/>
          <w:szCs w:val="32"/>
        </w:rPr>
        <w:t>选修课</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选修课是本课程的重要组成部分，是必修课的补充和延伸，是适应当地经济文化发展和学前教育事业改革发展的需要。它可以因地制宜、因校制宜；可以拓宽和加深学生的知识，发展学生广泛的兴趣和特长，提高学生某一方面的专业素养等。选修课主要有幼儿园班级管理、幼儿游戏创编、现代女性与家政、书法、艺术欣赏、礼仪、玩教具制作、幼儿园环境创设等。</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选修课从一年级下学期起开设，每学期两门中选一门，内容要力求体现实用性、综合性、时代性和校本特色。对于不需要整学期开设的选修课程，可采用微型课或讲座的形式进行教学。</w:t>
      </w:r>
    </w:p>
    <w:p>
      <w:pPr>
        <w:numPr>
          <w:ilvl w:val="0"/>
          <w:numId w:val="1"/>
        </w:numPr>
        <w:spacing w:line="360" w:lineRule="auto"/>
        <w:rPr>
          <w:rFonts w:hint="eastAsia" w:ascii="宋体" w:hAnsi="宋体" w:eastAsia="宋体" w:cs="宋体"/>
          <w:sz w:val="32"/>
          <w:szCs w:val="32"/>
        </w:rPr>
      </w:pPr>
      <w:r>
        <w:rPr>
          <w:rFonts w:hint="eastAsia" w:ascii="宋体" w:hAnsi="宋体" w:eastAsia="宋体" w:cs="宋体"/>
          <w:sz w:val="32"/>
          <w:szCs w:val="32"/>
        </w:rPr>
        <w:t>教育实践</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实践教学是培养和提升学生职业技能的重要环节，是对学生进行思想教育、劳动教育和职业教育的有效途径。教育实践活动对学生熟悉就业环境、了解学前教育特点、掌握保教操作程序、养成良好的职业习惯、提高学生综合实践能力等具有特殊作用。</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教育实践的安排要贯穿于三年教学活动中。主要包括以下几种形式：</w:t>
      </w:r>
    </w:p>
    <w:p>
      <w:pPr>
        <w:spacing w:line="360" w:lineRule="auto"/>
        <w:ind w:firstLine="480" w:firstLineChars="150"/>
        <w:rPr>
          <w:rFonts w:hint="eastAsia" w:ascii="宋体" w:hAnsi="宋体" w:eastAsia="宋体" w:cs="宋体"/>
          <w:sz w:val="32"/>
          <w:szCs w:val="32"/>
        </w:rPr>
      </w:pPr>
      <w:r>
        <w:rPr>
          <w:rFonts w:hint="eastAsia" w:ascii="宋体" w:hAnsi="宋体" w:eastAsia="宋体" w:cs="宋体"/>
          <w:sz w:val="32"/>
          <w:szCs w:val="32"/>
        </w:rPr>
        <w:t>1.保教见习：从一年级到三年级，每学期组织学生到各幼儿园进行见习活动，使学生了解各级各类幼儿园的日常保、教和管理工作的基本情况，巩固专业思想，促进专业学习。</w:t>
      </w:r>
    </w:p>
    <w:p>
      <w:pPr>
        <w:spacing w:line="360" w:lineRule="auto"/>
        <w:ind w:firstLine="480" w:firstLineChars="150"/>
        <w:rPr>
          <w:rFonts w:hint="eastAsia" w:ascii="宋体" w:hAnsi="宋体" w:eastAsia="宋体" w:cs="宋体"/>
          <w:sz w:val="32"/>
          <w:szCs w:val="32"/>
        </w:rPr>
      </w:pPr>
      <w:r>
        <w:rPr>
          <w:rFonts w:hint="eastAsia" w:ascii="宋体" w:hAnsi="宋体" w:eastAsia="宋体" w:cs="宋体"/>
          <w:sz w:val="32"/>
          <w:szCs w:val="32"/>
        </w:rPr>
        <w:t>2.课程实习：是指在课程教学中与其配套的技能训练。学科教师可根据本学科实际，在进行理论教学的同时，安排适当时间进行实践训练，如教学基本技能的训练，教学组织能力的训练，保教工作能力的训练等。</w:t>
      </w:r>
    </w:p>
    <w:p>
      <w:pPr>
        <w:spacing w:line="360" w:lineRule="auto"/>
        <w:ind w:firstLine="480" w:firstLineChars="150"/>
        <w:rPr>
          <w:rFonts w:hint="eastAsia" w:ascii="宋体" w:hAnsi="宋体" w:eastAsia="宋体" w:cs="宋体"/>
          <w:sz w:val="32"/>
          <w:szCs w:val="32"/>
        </w:rPr>
      </w:pPr>
      <w:r>
        <w:rPr>
          <w:rFonts w:hint="eastAsia" w:ascii="宋体" w:hAnsi="宋体" w:eastAsia="宋体" w:cs="宋体"/>
          <w:sz w:val="32"/>
          <w:szCs w:val="32"/>
        </w:rPr>
        <w:t>3.综合实习：组织安排学生在实习基地进行的综合性教育及保育实习，其目的是让学生巩固课程内容，锻炼运用理论知识解决保育、教育和幼儿管理等实际问题的能力，从而强化职业技能，提高专业素质，为就业创造条件。</w:t>
      </w:r>
    </w:p>
    <w:p>
      <w:pPr>
        <w:spacing w:line="360" w:lineRule="auto"/>
        <w:ind w:firstLine="480" w:firstLineChars="150"/>
        <w:rPr>
          <w:rFonts w:hint="eastAsia" w:ascii="宋体" w:hAnsi="宋体" w:eastAsia="宋体" w:cs="宋体"/>
          <w:sz w:val="32"/>
          <w:szCs w:val="32"/>
        </w:rPr>
      </w:pPr>
      <w:r>
        <w:rPr>
          <w:rFonts w:hint="eastAsia" w:ascii="宋体" w:hAnsi="宋体" w:eastAsia="宋体" w:cs="宋体"/>
          <w:sz w:val="32"/>
          <w:szCs w:val="32"/>
        </w:rPr>
        <w:t>4.顶岗实习。</w:t>
      </w:r>
    </w:p>
    <w:p>
      <w:pPr>
        <w:spacing w:line="360" w:lineRule="auto"/>
        <w:ind w:left="120"/>
        <w:rPr>
          <w:rFonts w:hint="eastAsia" w:ascii="宋体" w:hAnsi="宋体" w:eastAsia="宋体" w:cs="宋体"/>
          <w:sz w:val="32"/>
          <w:szCs w:val="32"/>
        </w:rPr>
      </w:pPr>
      <w:r>
        <w:rPr>
          <w:rFonts w:hint="eastAsia" w:ascii="宋体" w:hAnsi="宋体" w:eastAsia="宋体" w:cs="宋体"/>
          <w:sz w:val="32"/>
          <w:szCs w:val="32"/>
        </w:rPr>
        <w:t>（四）活动课</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活动课是幼学前教育专业课程体系的有机组成部分，对于拓宽知识、培养技能、发展个性、形成专长、提高素质具有不可替代的作用。</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活动课要安排在每周的教学活动总量之内，学校要制定活动计划，安排教师辅导，提供必要的场地、设备等，使活动课有计划、有目的、有组织的进行；要激发学生的兴趣和热情，充分调动学生参与活动的积极性和主动性，培养学生自我教育、自我管理、自我服务的能力。</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活动课要注意形式多样、生动有趣。可通过举办讲座、兴趣小组、学科竞赛、社区活动、大型文体表演等形式进行。</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四、课程及学时安排</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全学程共150周，其中教学活动92周，教育实践8周，寒暑假30周，顶岗实习18周，机动2周。全学程具体安排见附表。</w:t>
      </w: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tbl>
      <w:tblPr>
        <w:tblStyle w:val="4"/>
        <w:tblW w:w="9260" w:type="dxa"/>
        <w:tblInd w:w="0" w:type="dxa"/>
        <w:tblLayout w:type="autofit"/>
        <w:tblCellMar>
          <w:top w:w="0" w:type="dxa"/>
          <w:left w:w="108" w:type="dxa"/>
          <w:bottom w:w="0" w:type="dxa"/>
          <w:right w:w="108" w:type="dxa"/>
        </w:tblCellMar>
      </w:tblPr>
      <w:tblGrid>
        <w:gridCol w:w="660"/>
        <w:gridCol w:w="555"/>
        <w:gridCol w:w="496"/>
        <w:gridCol w:w="615"/>
        <w:gridCol w:w="516"/>
        <w:gridCol w:w="645"/>
        <w:gridCol w:w="954"/>
        <w:gridCol w:w="645"/>
        <w:gridCol w:w="1093"/>
        <w:gridCol w:w="1093"/>
        <w:gridCol w:w="636"/>
        <w:gridCol w:w="696"/>
        <w:gridCol w:w="656"/>
      </w:tblGrid>
      <w:tr>
        <w:tblPrEx>
          <w:tblCellMar>
            <w:top w:w="0" w:type="dxa"/>
            <w:left w:w="108" w:type="dxa"/>
            <w:bottom w:w="0" w:type="dxa"/>
            <w:right w:w="108" w:type="dxa"/>
          </w:tblCellMar>
        </w:tblPrEx>
        <w:trPr>
          <w:trHeight w:val="144"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b/>
                <w:i w:val="0"/>
                <w:color w:val="000000"/>
                <w:kern w:val="0"/>
                <w:sz w:val="24"/>
                <w:szCs w:val="24"/>
                <w:u w:val="none"/>
                <w:lang w:val="en-US" w:eastAsia="zh-CN" w:bidi="ar"/>
              </w:rPr>
              <w:t>聊城</w:t>
            </w:r>
            <w:bookmarkStart w:id="0" w:name="_GoBack"/>
            <w:bookmarkEnd w:id="0"/>
            <w:r>
              <w:rPr>
                <w:rFonts w:hint="eastAsia" w:ascii="宋体" w:hAnsi="宋体" w:cs="宋体"/>
                <w:b/>
                <w:i w:val="0"/>
                <w:color w:val="000000"/>
                <w:kern w:val="0"/>
                <w:sz w:val="24"/>
                <w:szCs w:val="24"/>
                <w:u w:val="none"/>
                <w:lang w:val="en-US" w:eastAsia="zh-CN" w:bidi="ar"/>
              </w:rPr>
              <w:t>现代交通职业中等专业学校</w:t>
            </w:r>
            <w:r>
              <w:rPr>
                <w:rFonts w:hint="eastAsia" w:ascii="宋体" w:hAnsi="宋体" w:eastAsia="宋体" w:cs="宋体"/>
                <w:b/>
                <w:i w:val="0"/>
                <w:color w:val="000000"/>
                <w:kern w:val="0"/>
                <w:sz w:val="24"/>
                <w:szCs w:val="24"/>
                <w:u w:val="none"/>
                <w:lang w:val="en-US" w:eastAsia="zh-CN" w:bidi="ar"/>
              </w:rPr>
              <w:t>学前教育教学进程表</w:t>
            </w:r>
          </w:p>
        </w:tc>
      </w:tr>
      <w:tr>
        <w:tblPrEx>
          <w:tblCellMar>
            <w:top w:w="0" w:type="dxa"/>
            <w:left w:w="108" w:type="dxa"/>
            <w:bottom w:w="0" w:type="dxa"/>
            <w:right w:w="108" w:type="dxa"/>
          </w:tblCellMar>
        </w:tblPrEx>
        <w:trPr>
          <w:trHeight w:val="148" w:hRule="atLeast"/>
        </w:trPr>
        <w:tc>
          <w:tcPr>
            <w:tcW w:w="0" w:type="auto"/>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课 程 类 别</w:t>
            </w:r>
          </w:p>
        </w:tc>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810260"/>
                  <wp:effectExtent l="0" t="0" r="8890" b="889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
                          <a:stretch>
                            <a:fillRect/>
                          </a:stretch>
                        </pic:blipFill>
                        <pic:spPr>
                          <a:xfrm>
                            <a:off x="0" y="0"/>
                            <a:ext cx="10160" cy="810260"/>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lang w:val="en-US" w:eastAsia="zh-CN" w:bidi="ar"/>
              </w:rPr>
              <w:t>学　　年</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总课 时数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小计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占总教学量%</w:t>
            </w:r>
          </w:p>
        </w:tc>
      </w:tr>
      <w:tr>
        <w:tblPrEx>
          <w:tblCellMar>
            <w:top w:w="0" w:type="dxa"/>
            <w:left w:w="108" w:type="dxa"/>
            <w:bottom w:w="0" w:type="dxa"/>
            <w:right w:w="108" w:type="dxa"/>
          </w:tblCellMar>
        </w:tblPrEx>
        <w:trPr>
          <w:trHeight w:val="148" w:hRule="atLeast"/>
        </w:trPr>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一</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三</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26" w:hRule="atLeast"/>
        </w:trPr>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下</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上</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下</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上</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721"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必修课程70%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基础文化课程</w:t>
            </w:r>
          </w:p>
        </w:tc>
        <w:tc>
          <w:tcPr>
            <w:tcW w:w="0" w:type="auto"/>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德  育</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哲学与人生</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综合实习、供需见面会、顶岗实习</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技能毕业考核、综合实习、供需见面会、顶岗实习</w:t>
            </w:r>
          </w:p>
        </w:tc>
        <w:tc>
          <w:tcPr>
            <w:tcW w:w="0" w:type="auto"/>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技能毕业考核、综合实习、供需见面会、顶岗实习</w:t>
            </w:r>
          </w:p>
        </w:tc>
        <w:tc>
          <w:tcPr>
            <w:tcW w:w="0" w:type="auto"/>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restart"/>
            <w:tcBorders>
              <w:top w:val="nil"/>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1224</w:t>
            </w:r>
          </w:p>
        </w:tc>
        <w:tc>
          <w:tcPr>
            <w:tcW w:w="0" w:type="auto"/>
            <w:vMerge w:val="restart"/>
            <w:tcBorders>
              <w:top w:val="nil"/>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721" w:hRule="atLeast"/>
        </w:trPr>
        <w:tc>
          <w:tcPr>
            <w:tcW w:w="0" w:type="auto"/>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经济与社会</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left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noWrap/>
            <w:vAlign w:val="center"/>
          </w:tcPr>
          <w:p>
            <w:pPr>
              <w:jc w:val="center"/>
              <w:rPr>
                <w:sz w:val="24"/>
                <w:szCs w:val="24"/>
              </w:rPr>
            </w:pPr>
          </w:p>
        </w:tc>
      </w:tr>
      <w:tr>
        <w:tblPrEx>
          <w:tblCellMar>
            <w:top w:w="0" w:type="dxa"/>
            <w:left w:w="108" w:type="dxa"/>
            <w:bottom w:w="0" w:type="dxa"/>
            <w:right w:w="108" w:type="dxa"/>
          </w:tblCellMar>
        </w:tblPrEx>
        <w:trPr>
          <w:trHeight w:val="1008" w:hRule="atLeast"/>
        </w:trPr>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职业道德与法律</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left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noWrap/>
            <w:vAlign w:val="center"/>
          </w:tcPr>
          <w:p>
            <w:pPr>
              <w:jc w:val="center"/>
              <w:rPr>
                <w:sz w:val="24"/>
                <w:szCs w:val="24"/>
              </w:rPr>
            </w:pPr>
          </w:p>
        </w:tc>
      </w:tr>
      <w:tr>
        <w:tblPrEx>
          <w:tblCellMar>
            <w:top w:w="0" w:type="dxa"/>
            <w:left w:w="108" w:type="dxa"/>
            <w:bottom w:w="0" w:type="dxa"/>
            <w:right w:w="108" w:type="dxa"/>
          </w:tblCellMar>
        </w:tblPrEx>
        <w:trPr>
          <w:trHeight w:val="1008" w:hRule="atLeast"/>
        </w:trPr>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幼师生心理健康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left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noWrap/>
            <w:vAlign w:val="center"/>
          </w:tcPr>
          <w:p>
            <w:pPr>
              <w:jc w:val="center"/>
              <w:rPr>
                <w:sz w:val="24"/>
                <w:szCs w:val="24"/>
              </w:rPr>
            </w:pPr>
          </w:p>
        </w:tc>
      </w:tr>
      <w:tr>
        <w:tblPrEx>
          <w:tblCellMar>
            <w:top w:w="0" w:type="dxa"/>
            <w:left w:w="108" w:type="dxa"/>
            <w:bottom w:w="0" w:type="dxa"/>
            <w:right w:w="108" w:type="dxa"/>
          </w:tblCellMar>
        </w:tblPrEx>
        <w:trPr>
          <w:trHeight w:val="1295" w:hRule="atLeast"/>
        </w:trPr>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职业规划与就业指导</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left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noWrap/>
            <w:vAlign w:val="center"/>
          </w:tcPr>
          <w:p>
            <w:pPr>
              <w:jc w:val="center"/>
              <w:rPr>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语　文</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288</w:t>
            </w: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数　学</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144</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英　语</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180</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社会科学基础知识</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自然科学基础知识</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108</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7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计算机与幼儿园课件制作</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108</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普通话与教师口语</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144</w:t>
            </w:r>
          </w:p>
        </w:tc>
        <w:tc>
          <w:tcPr>
            <w:tcW w:w="0" w:type="auto"/>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专业理论课程</w:t>
            </w: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幼儿卫生与保健</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540</w:t>
            </w:r>
          </w:p>
        </w:tc>
        <w:tc>
          <w:tcPr>
            <w:tcW w:w="0" w:type="auto"/>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292"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幼儿心理学</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幼儿教育学</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幼儿园健康教育</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幼儿园语言教育</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幼儿园社会教育</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幼儿园科学教育</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幼儿园艺术教育</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幼儿游戏</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幼儿文学</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幼儿园应用文写作</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专业技能课程</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音乐</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钢  琴</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180</w:t>
            </w:r>
          </w:p>
        </w:tc>
        <w:tc>
          <w:tcPr>
            <w:tcW w:w="0" w:type="auto"/>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1116</w:t>
            </w:r>
          </w:p>
        </w:tc>
        <w:tc>
          <w:tcPr>
            <w:tcW w:w="0" w:type="auto"/>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28%</w:t>
            </w:r>
          </w:p>
        </w:tc>
      </w:tr>
      <w:tr>
        <w:tblPrEx>
          <w:tblCellMar>
            <w:top w:w="0" w:type="dxa"/>
            <w:left w:w="108" w:type="dxa"/>
            <w:bottom w:w="0" w:type="dxa"/>
            <w:right w:w="108" w:type="dxa"/>
          </w:tblCellMar>
        </w:tblPrEx>
        <w:trPr>
          <w:trHeight w:val="100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乐理与视唱练耳</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唱  歌</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90</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舞　蹈</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360</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美术（绘画、图案）</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180</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手工</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54</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体　育</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126</w:t>
            </w: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体  操</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54</w:t>
            </w:r>
          </w:p>
        </w:tc>
        <w:tc>
          <w:tcPr>
            <w:tcW w:w="0" w:type="auto"/>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bottom w:val="nil"/>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选修课程3%</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书  法</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2（2选1）</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144</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287"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艺术作品欣赏</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幼儿园环境创设</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儿歌即兴伴奏</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2（2选1）</w:t>
            </w: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7"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家庭教育</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幼儿园课程</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92" w:hRule="atLeast"/>
        </w:trPr>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幼儿园班级管理</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48"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活动课程4%</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180</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578"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教育实践23%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军训1周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18周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960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960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153"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教学活动总量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35</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35</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4164</w:t>
            </w:r>
          </w:p>
        </w:tc>
        <w:tc>
          <w:tcPr>
            <w:tcW w:w="0" w:type="auto"/>
            <w:tcBorders>
              <w:top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p>
        </w:tc>
      </w:tr>
    </w:tbl>
    <w:p>
      <w:pPr>
        <w:rPr>
          <w:rFonts w:hint="eastAsia" w:ascii="仿宋" w:hAnsi="仿宋" w:eastAsia="仿宋" w:cs="仿宋"/>
          <w:sz w:val="32"/>
          <w:szCs w:val="32"/>
        </w:rPr>
      </w:pPr>
    </w:p>
    <w:sectPr>
      <w:headerReference r:id="rId3" w:type="default"/>
      <w:pgSz w:w="11906" w:h="16838"/>
      <w:pgMar w:top="1134"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706A6"/>
    <w:multiLevelType w:val="multilevel"/>
    <w:tmpl w:val="2EA706A6"/>
    <w:lvl w:ilvl="0" w:tentative="0">
      <w:start w:val="1"/>
      <w:numFmt w:val="japaneseCounting"/>
      <w:lvlText w:val="（%1）"/>
      <w:lvlJc w:val="left"/>
      <w:pPr>
        <w:tabs>
          <w:tab w:val="left" w:pos="840"/>
        </w:tabs>
        <w:ind w:left="84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MDJmZjczMDljMmM1ZTg0OGM1MGViYWIwNzA1ZWMifQ=="/>
  </w:docVars>
  <w:rsids>
    <w:rsidRoot w:val="00F60D8D"/>
    <w:rsid w:val="00005513"/>
    <w:rsid w:val="00020EB4"/>
    <w:rsid w:val="00031AC0"/>
    <w:rsid w:val="000425A5"/>
    <w:rsid w:val="00091BD1"/>
    <w:rsid w:val="000F6098"/>
    <w:rsid w:val="00131FB8"/>
    <w:rsid w:val="0013537D"/>
    <w:rsid w:val="001573C7"/>
    <w:rsid w:val="001D2E65"/>
    <w:rsid w:val="001E303D"/>
    <w:rsid w:val="001E4488"/>
    <w:rsid w:val="001F1D73"/>
    <w:rsid w:val="0020092A"/>
    <w:rsid w:val="00212D6B"/>
    <w:rsid w:val="00251B2D"/>
    <w:rsid w:val="00256EEB"/>
    <w:rsid w:val="002749BB"/>
    <w:rsid w:val="00287CC6"/>
    <w:rsid w:val="002B3C26"/>
    <w:rsid w:val="002C207D"/>
    <w:rsid w:val="002E407A"/>
    <w:rsid w:val="002F638D"/>
    <w:rsid w:val="00313BE1"/>
    <w:rsid w:val="00333F67"/>
    <w:rsid w:val="00344F17"/>
    <w:rsid w:val="0035492D"/>
    <w:rsid w:val="003633B0"/>
    <w:rsid w:val="003643F8"/>
    <w:rsid w:val="00375441"/>
    <w:rsid w:val="003C3909"/>
    <w:rsid w:val="003D5809"/>
    <w:rsid w:val="003E7C69"/>
    <w:rsid w:val="0040324B"/>
    <w:rsid w:val="004272D1"/>
    <w:rsid w:val="00450EA2"/>
    <w:rsid w:val="00474BB2"/>
    <w:rsid w:val="004B4C6E"/>
    <w:rsid w:val="004C7C0D"/>
    <w:rsid w:val="0052661B"/>
    <w:rsid w:val="0053762F"/>
    <w:rsid w:val="005466E3"/>
    <w:rsid w:val="005613B6"/>
    <w:rsid w:val="00573EFF"/>
    <w:rsid w:val="005856B1"/>
    <w:rsid w:val="005D7214"/>
    <w:rsid w:val="00615212"/>
    <w:rsid w:val="006834D1"/>
    <w:rsid w:val="00694B02"/>
    <w:rsid w:val="00695EE4"/>
    <w:rsid w:val="00697ECE"/>
    <w:rsid w:val="006A0DFC"/>
    <w:rsid w:val="006C45C0"/>
    <w:rsid w:val="006E2CD5"/>
    <w:rsid w:val="006E3624"/>
    <w:rsid w:val="006F0015"/>
    <w:rsid w:val="006F3080"/>
    <w:rsid w:val="00700E2C"/>
    <w:rsid w:val="00745315"/>
    <w:rsid w:val="007602AA"/>
    <w:rsid w:val="0076090C"/>
    <w:rsid w:val="00790CEE"/>
    <w:rsid w:val="007A2163"/>
    <w:rsid w:val="007A3963"/>
    <w:rsid w:val="008023A5"/>
    <w:rsid w:val="00803302"/>
    <w:rsid w:val="008104F9"/>
    <w:rsid w:val="008342DD"/>
    <w:rsid w:val="00854D8B"/>
    <w:rsid w:val="0086712C"/>
    <w:rsid w:val="00867D76"/>
    <w:rsid w:val="00873454"/>
    <w:rsid w:val="00875DB4"/>
    <w:rsid w:val="00891F17"/>
    <w:rsid w:val="008D1BE5"/>
    <w:rsid w:val="008E179E"/>
    <w:rsid w:val="008E719D"/>
    <w:rsid w:val="0091158F"/>
    <w:rsid w:val="00945001"/>
    <w:rsid w:val="00962468"/>
    <w:rsid w:val="00965283"/>
    <w:rsid w:val="009B5660"/>
    <w:rsid w:val="009F2CF4"/>
    <w:rsid w:val="00A119C7"/>
    <w:rsid w:val="00A137A8"/>
    <w:rsid w:val="00A30F89"/>
    <w:rsid w:val="00A80A41"/>
    <w:rsid w:val="00AB3B04"/>
    <w:rsid w:val="00AC1531"/>
    <w:rsid w:val="00AE259A"/>
    <w:rsid w:val="00B56900"/>
    <w:rsid w:val="00B818D1"/>
    <w:rsid w:val="00BA703F"/>
    <w:rsid w:val="00BC2D56"/>
    <w:rsid w:val="00BF42DC"/>
    <w:rsid w:val="00C02143"/>
    <w:rsid w:val="00C06C61"/>
    <w:rsid w:val="00C10B76"/>
    <w:rsid w:val="00C114A4"/>
    <w:rsid w:val="00C130F4"/>
    <w:rsid w:val="00C15455"/>
    <w:rsid w:val="00C4618A"/>
    <w:rsid w:val="00C52C0B"/>
    <w:rsid w:val="00C55DBD"/>
    <w:rsid w:val="00C60E14"/>
    <w:rsid w:val="00C7184F"/>
    <w:rsid w:val="00C77405"/>
    <w:rsid w:val="00C86C83"/>
    <w:rsid w:val="00C94617"/>
    <w:rsid w:val="00CB31B2"/>
    <w:rsid w:val="00CB43C5"/>
    <w:rsid w:val="00CC3F08"/>
    <w:rsid w:val="00CC79BF"/>
    <w:rsid w:val="00CF0EDE"/>
    <w:rsid w:val="00CF568E"/>
    <w:rsid w:val="00D016A9"/>
    <w:rsid w:val="00D1643F"/>
    <w:rsid w:val="00D31403"/>
    <w:rsid w:val="00D319C6"/>
    <w:rsid w:val="00D41FB1"/>
    <w:rsid w:val="00D724AE"/>
    <w:rsid w:val="00D92B75"/>
    <w:rsid w:val="00DB342A"/>
    <w:rsid w:val="00DE5FD4"/>
    <w:rsid w:val="00DF035C"/>
    <w:rsid w:val="00E22919"/>
    <w:rsid w:val="00E32FBA"/>
    <w:rsid w:val="00E63444"/>
    <w:rsid w:val="00E63DCB"/>
    <w:rsid w:val="00E65219"/>
    <w:rsid w:val="00E9477A"/>
    <w:rsid w:val="00EB6883"/>
    <w:rsid w:val="00ED4071"/>
    <w:rsid w:val="00F049FF"/>
    <w:rsid w:val="00F243B3"/>
    <w:rsid w:val="00F376A1"/>
    <w:rsid w:val="00F476E5"/>
    <w:rsid w:val="00F5120B"/>
    <w:rsid w:val="00F60D8D"/>
    <w:rsid w:val="00F63EEC"/>
    <w:rsid w:val="00F835C6"/>
    <w:rsid w:val="00F92449"/>
    <w:rsid w:val="00FD2EAA"/>
    <w:rsid w:val="01985CA8"/>
    <w:rsid w:val="19AB482C"/>
    <w:rsid w:val="2CC14440"/>
    <w:rsid w:val="322D7627"/>
    <w:rsid w:val="43B41B33"/>
    <w:rsid w:val="642E0C84"/>
    <w:rsid w:val="7D7E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2899</Words>
  <Characters>2998</Characters>
  <Lines>26</Lines>
  <Paragraphs>7</Paragraphs>
  <TotalTime>6</TotalTime>
  <ScaleCrop>false</ScaleCrop>
  <LinksUpToDate>false</LinksUpToDate>
  <CharactersWithSpaces>3082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2018-07-09T06:52:00Z</dcterms:created>
  <dc:creator>微软用户</dc:creator>
  <cp:lastModifiedBy>赵老师</cp:lastModifiedBy>
  <cp:lastPrinted>2011-06-29T08:45:00Z</cp:lastPrinted>
  <dcterms:modified xsi:type="dcterms:W3CDTF">2024-06-07T11:42:36Z</dcterms:modified>
  <dc:title>中职学校学前教育专业课程（教学）计划草案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5321438D49BF4B6B89ED2F275493CC4D_13</vt:lpwstr>
  </property>
</Properties>
</file>